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F8" w:rsidRDefault="008B4641" w:rsidP="006C0E91">
      <w:pPr>
        <w:jc w:val="center"/>
        <w:rPr>
          <w:rFonts w:ascii="標楷體" w:eastAsia="標楷體" w:hAnsi="標楷體" w:hint="eastAsia"/>
          <w:b/>
          <w:sz w:val="52"/>
          <w:szCs w:val="52"/>
          <w:u w:val="single"/>
        </w:rPr>
      </w:pPr>
      <w:r w:rsidRPr="008B4641">
        <w:rPr>
          <w:rFonts w:ascii="標楷體" w:eastAsia="標楷體" w:hAnsi="標楷體" w:hint="eastAsia"/>
          <w:b/>
          <w:sz w:val="52"/>
          <w:szCs w:val="52"/>
          <w:u w:val="single"/>
        </w:rPr>
        <w:t>附件</w:t>
      </w:r>
      <w:proofErr w:type="gramStart"/>
      <w:r w:rsidRPr="008B4641">
        <w:rPr>
          <w:rFonts w:ascii="標楷體" w:eastAsia="標楷體" w:hAnsi="標楷體" w:hint="eastAsia"/>
          <w:b/>
          <w:sz w:val="52"/>
          <w:szCs w:val="52"/>
          <w:u w:val="single"/>
        </w:rPr>
        <w:t>三</w:t>
      </w:r>
      <w:proofErr w:type="gramEnd"/>
      <w:r w:rsidRPr="008B4641">
        <w:rPr>
          <w:rFonts w:ascii="標楷體" w:eastAsia="標楷體" w:hAnsi="標楷體" w:hint="eastAsia"/>
          <w:b/>
          <w:sz w:val="52"/>
          <w:szCs w:val="52"/>
          <w:u w:val="single"/>
        </w:rPr>
        <w:t>：地板落水頭選用指南</w:t>
      </w:r>
    </w:p>
    <w:p w:rsidR="008B4641" w:rsidRPr="008B4641" w:rsidRDefault="00312BC8" w:rsidP="008B4641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8B4641" w:rsidRPr="008B4641">
        <w:rPr>
          <w:rFonts w:ascii="標楷體" w:eastAsia="標楷體" w:hAnsi="標楷體" w:cs="新細明體"/>
          <w:kern w:val="0"/>
          <w:sz w:val="32"/>
          <w:szCs w:val="32"/>
        </w:rPr>
        <w:t>依據排入地板落水頭的排水流量基礎被預期計算後、接著決定地板落水頭頂蓋或</w:t>
      </w:r>
      <w:proofErr w:type="gramStart"/>
      <w:r w:rsidR="008B4641" w:rsidRPr="008B4641">
        <w:rPr>
          <w:rFonts w:ascii="標楷體" w:eastAsia="標楷體" w:hAnsi="標楷體" w:cs="新細明體"/>
          <w:kern w:val="0"/>
          <w:sz w:val="32"/>
          <w:szCs w:val="32"/>
        </w:rPr>
        <w:t>格柵(濾水蓋</w:t>
      </w:r>
      <w:proofErr w:type="gramEnd"/>
      <w:r w:rsidR="008B4641" w:rsidRPr="008B4641">
        <w:rPr>
          <w:rFonts w:ascii="標楷體" w:eastAsia="標楷體" w:hAnsi="標楷體" w:cs="新細明體"/>
          <w:kern w:val="0"/>
          <w:sz w:val="32"/>
          <w:szCs w:val="32"/>
        </w:rPr>
        <w:t>)的載重量、</w:t>
      </w:r>
      <w:proofErr w:type="gramStart"/>
      <w:r w:rsidR="008B4641" w:rsidRPr="008B4641">
        <w:rPr>
          <w:rFonts w:ascii="標楷體" w:eastAsia="標楷體" w:hAnsi="標楷體" w:cs="新細明體"/>
          <w:kern w:val="0"/>
          <w:sz w:val="32"/>
          <w:szCs w:val="32"/>
        </w:rPr>
        <w:t>孔距</w:t>
      </w:r>
      <w:proofErr w:type="gramEnd"/>
      <w:r w:rsidR="008B4641" w:rsidRPr="008B4641">
        <w:rPr>
          <w:rFonts w:ascii="標楷體" w:eastAsia="標楷體" w:hAnsi="標楷體" w:cs="新細明體"/>
          <w:kern w:val="0"/>
          <w:sz w:val="32"/>
          <w:szCs w:val="32"/>
        </w:rPr>
        <w:t>、材質、外觀形狀。當開始訂做最終所選用的地板落水頭時，下列幾個重點將須被列入考慮因素。</w:t>
      </w:r>
    </w:p>
    <w:p w:rsidR="00E93B30" w:rsidRDefault="008B4641" w:rsidP="00E93B30">
      <w:pPr>
        <w:widowControl/>
        <w:numPr>
          <w:ilvl w:val="0"/>
          <w:numId w:val="26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  <w:u w:val="single"/>
        </w:rPr>
        <w:t>地板落水頭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  <w:u w:val="single"/>
        </w:rPr>
        <w:t>格柵(濾水蓋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  <w:u w:val="single"/>
        </w:rPr>
        <w:t>)負載等級的應用</w:t>
      </w:r>
    </w:p>
    <w:p w:rsidR="00E93B30" w:rsidRDefault="008B4641" w:rsidP="00E93B30">
      <w:pPr>
        <w:widowControl/>
        <w:spacing w:line="520" w:lineRule="exact"/>
        <w:ind w:left="480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載重量等級的分類：(依據美國機械工程師協會ASME A112 . 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6 .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 3-2001 FLOOR DRAINS 規範) </w:t>
      </w:r>
    </w:p>
    <w:p w:rsidR="008B4641" w:rsidRPr="008B4641" w:rsidRDefault="008B4641" w:rsidP="00E93B30">
      <w:pPr>
        <w:widowControl/>
        <w:spacing w:line="520" w:lineRule="exact"/>
        <w:ind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>確認將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通過格柵頂蓋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上方最大的預期載運量後並且選用可支撐承載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的格柵型式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，下述等級乃關係到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各種格柵頂蓋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的載重分類。 </w:t>
      </w:r>
    </w:p>
    <w:p w:rsidR="008B4641" w:rsidRDefault="008B4641" w:rsidP="008B4641">
      <w:pPr>
        <w:widowControl/>
        <w:numPr>
          <w:ilvl w:val="0"/>
          <w:numId w:val="24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輕負荷級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格柵頂蓋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的安全活載重在900公斤以下。</w:t>
      </w:r>
    </w:p>
    <w:p w:rsidR="008B4641" w:rsidRDefault="008B4641" w:rsidP="008B4641">
      <w:pPr>
        <w:widowControl/>
        <w:numPr>
          <w:ilvl w:val="0"/>
          <w:numId w:val="24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中負荷級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格柵頂蓋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的安全活載重介於900公斤至2250公斤之間。</w:t>
      </w:r>
    </w:p>
    <w:p w:rsidR="008B4641" w:rsidRDefault="008B4641" w:rsidP="008B4641">
      <w:pPr>
        <w:widowControl/>
        <w:numPr>
          <w:ilvl w:val="0"/>
          <w:numId w:val="24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重負荷級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格柵頂蓋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的安全活載重介於2250公斤至3375公斤之間。 </w:t>
      </w:r>
    </w:p>
    <w:p w:rsidR="008B4641" w:rsidRDefault="008B4641" w:rsidP="008B4641">
      <w:pPr>
        <w:widowControl/>
        <w:numPr>
          <w:ilvl w:val="0"/>
          <w:numId w:val="24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超重負荷級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格柵頂蓋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的安全活載重介於3375公斤至4500公斤之間。</w:t>
      </w:r>
    </w:p>
    <w:p w:rsidR="00E93B30" w:rsidRDefault="008B4641" w:rsidP="00E93B30">
      <w:pPr>
        <w:widowControl/>
        <w:numPr>
          <w:ilvl w:val="0"/>
          <w:numId w:val="24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特殊負荷級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格柵頂蓋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的安全活載重在4500公斤以上。</w:t>
      </w:r>
    </w:p>
    <w:p w:rsidR="008B4641" w:rsidRPr="00E93B30" w:rsidRDefault="008B4641" w:rsidP="00E93B30">
      <w:pPr>
        <w:widowControl/>
        <w:spacing w:line="520" w:lineRule="exact"/>
        <w:ind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以上載重等級提供參考使用，對於所使用的環境，集中荷重、施工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按裝</w:t>
      </w:r>
      <w:proofErr w:type="gramEnd"/>
      <w:r w:rsidR="00E93B30" w:rsidRPr="00E93B30">
        <w:rPr>
          <w:rFonts w:ascii="標楷體" w:eastAsia="標楷體" w:hAnsi="標楷體" w:cs="新細明體" w:hint="eastAsia"/>
          <w:kern w:val="0"/>
          <w:sz w:val="32"/>
          <w:szCs w:val="32"/>
        </w:rPr>
        <w:t>…</w:t>
      </w:r>
      <w:r w:rsidR="00E93B30" w:rsidRPr="00E93B30">
        <w:rPr>
          <w:rFonts w:ascii="標楷體" w:eastAsia="標楷體" w:hAnsi="標楷體" w:cs="新細明體"/>
          <w:kern w:val="0"/>
          <w:sz w:val="32"/>
          <w:szCs w:val="32"/>
        </w:rPr>
        <w:t>等</w:t>
      </w:r>
      <w:r w:rsidR="00E93B30" w:rsidRPr="00E93B30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E93B30">
        <w:rPr>
          <w:rFonts w:ascii="標楷體" w:eastAsia="標楷體" w:hAnsi="標楷體" w:cs="新細明體"/>
          <w:kern w:val="0"/>
          <w:sz w:val="32"/>
          <w:szCs w:val="32"/>
        </w:rPr>
        <w:t>均可能影響維修保養的結果。</w:t>
      </w:r>
    </w:p>
    <w:p w:rsidR="008B4641" w:rsidRPr="008B4641" w:rsidRDefault="008B4641" w:rsidP="00E93B30">
      <w:pPr>
        <w:widowControl/>
        <w:numPr>
          <w:ilvl w:val="0"/>
          <w:numId w:val="23"/>
        </w:numPr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  <w:u w:val="single"/>
        </w:rPr>
        <w:t>地板落水頭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  <w:u w:val="single"/>
        </w:rPr>
        <w:t>格柵(濾水蓋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  <w:u w:val="single"/>
        </w:rPr>
        <w:t>)材質的分類 </w:t>
      </w:r>
      <w:r w:rsidRPr="008B4641">
        <w:rPr>
          <w:rFonts w:ascii="標楷體" w:eastAsia="標楷體" w:hAnsi="標楷體" w:cs="新細明體"/>
          <w:kern w:val="0"/>
          <w:sz w:val="32"/>
          <w:szCs w:val="32"/>
        </w:rPr>
        <w:t> </w:t>
      </w:r>
    </w:p>
    <w:p w:rsidR="00E93B30" w:rsidRDefault="008B4641" w:rsidP="008B4641">
      <w:pPr>
        <w:widowControl/>
        <w:numPr>
          <w:ilvl w:val="0"/>
          <w:numId w:val="27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非裝修完成面區域 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 若地板落水頭位於高運載區域，則將使用重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負荷球墨鑄鐵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(Nodular Cast Iron)材質。若是地板落水頭位於高衝擊負載區域，則使用高延展鑄鐵(Ductile Iron)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或鑄青銅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(</w:t>
      </w:r>
      <w:proofErr w:type="spell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Bornze</w:t>
      </w:r>
      <w:proofErr w:type="spell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 Castings)，兩者材質皆可被接受使</w:t>
      </w:r>
      <w:r w:rsidRPr="00E93B30">
        <w:rPr>
          <w:rFonts w:ascii="標楷體" w:eastAsia="標楷體" w:hAnsi="標楷體" w:cs="新細明體"/>
          <w:kern w:val="0"/>
          <w:sz w:val="32"/>
          <w:szCs w:val="32"/>
        </w:rPr>
        <w:lastRenderedPageBreak/>
        <w:t>用於大多數非 裝修完成面區域，諸如倉庫、碼頭、港區、 機棚、鍋爐室 等類似區域。</w:t>
      </w:r>
    </w:p>
    <w:p w:rsidR="00E93B30" w:rsidRDefault="008B4641" w:rsidP="008B4641">
      <w:pPr>
        <w:widowControl/>
        <w:numPr>
          <w:ilvl w:val="0"/>
          <w:numId w:val="27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裝修完成面區域 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 大多數的地板落水頭適用鍍鉻、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亮面鑄黃銅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(Brass Castings)頂蓋材質，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使去和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樓板裝修面的周遭環境相搭配，一般性的樓板區域可使用輕負荷和中負荷等級的格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柵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8B4641" w:rsidRPr="00E93B30" w:rsidRDefault="008B4641" w:rsidP="008B4641">
      <w:pPr>
        <w:widowControl/>
        <w:numPr>
          <w:ilvl w:val="0"/>
          <w:numId w:val="27"/>
        </w:numPr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裝修完成面加大負載區域 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 對於一些使用於裝修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完成面須使用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負載量時例如大型會議中心、設備展覽館、工業廠房等。重負荷用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格柵則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可被指明採用鍍鉻青銅材質。</w:t>
      </w:r>
    </w:p>
    <w:p w:rsidR="008B4641" w:rsidRPr="008B4641" w:rsidRDefault="008B4641" w:rsidP="008B4641">
      <w:pPr>
        <w:widowControl/>
        <w:numPr>
          <w:ilvl w:val="0"/>
          <w:numId w:val="23"/>
        </w:numPr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  <w:u w:val="single"/>
        </w:rPr>
        <w:t>地板落水頭材質和表面處理</w:t>
      </w:r>
    </w:p>
    <w:p w:rsidR="00E93B30" w:rsidRDefault="008B4641" w:rsidP="008B4641">
      <w:pPr>
        <w:widowControl/>
        <w:numPr>
          <w:ilvl w:val="0"/>
          <w:numId w:val="28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球墨鑄鐵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 (Nodular Cast Irons)：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球墨鑄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 鐵擁有特殊的高強度和耐久性。鑄鐵鑄造的落水頭表面採用高品質的環氧樹脂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漆料或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熱浸鍍鋅處理可正常的使用在室內區域及工廠等類似之場所應用，不受表面褪 色、氧化、生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銹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等之困擾。另鑄鐵提供一個傳統及好等級的管件材質，此材質有極佳的抗腐蝕性，可使用在一般排放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汙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廢水、腐蝕性空氣重的沿海工業區等場所。</w:t>
      </w:r>
    </w:p>
    <w:p w:rsidR="00E93B30" w:rsidRDefault="008B4641" w:rsidP="00E93B30">
      <w:pPr>
        <w:widowControl/>
        <w:spacing w:line="520" w:lineRule="exact"/>
        <w:ind w:left="960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參考規範 CNS 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 xml:space="preserve"> 2472 G3038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灰口鑄鐵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件 </w:t>
      </w:r>
    </w:p>
    <w:p w:rsidR="00E93B30" w:rsidRDefault="008B4641" w:rsidP="00E93B30">
      <w:pPr>
        <w:widowControl/>
        <w:spacing w:line="520" w:lineRule="exact"/>
        <w:ind w:left="960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CNS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2869 B2118   球狀石墨鑄鐵件  </w:t>
      </w:r>
    </w:p>
    <w:p w:rsidR="00E93B30" w:rsidRDefault="008B4641" w:rsidP="00E93B30">
      <w:pPr>
        <w:widowControl/>
        <w:spacing w:line="520" w:lineRule="exact"/>
        <w:ind w:left="960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>ASTM─A48/48M - 00 Gray Iron Castings </w:t>
      </w:r>
    </w:p>
    <w:p w:rsidR="008B4641" w:rsidRPr="008B4641" w:rsidRDefault="008B4641" w:rsidP="00E93B30">
      <w:pPr>
        <w:widowControl/>
        <w:spacing w:line="520" w:lineRule="exact"/>
        <w:ind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ASME─A112.6.3 - 2001 Floor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And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Trench Drains   </w:t>
      </w:r>
    </w:p>
    <w:p w:rsidR="00E93B30" w:rsidRDefault="008B4641" w:rsidP="008B4641">
      <w:pPr>
        <w:widowControl/>
        <w:numPr>
          <w:ilvl w:val="0"/>
          <w:numId w:val="28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高延展鑄鐵 (Ductile Iron Castings)：  </w:t>
      </w:r>
    </w:p>
    <w:p w:rsidR="008B4641" w:rsidRPr="00E93B30" w:rsidRDefault="008B4641" w:rsidP="00E93B30">
      <w:pPr>
        <w:widowControl/>
        <w:spacing w:line="520" w:lineRule="exact"/>
        <w:ind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高延展鑄鐵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對照灰口鑄鐵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則擁有高延展性和耐衝擊性以及附加較大強度等級之合金成分特性。高延展鑄鐵較被推薦使用於隧道、橋樑、機場、鐵、公路、焚化爐廠、停車場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等須耐衝擊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公共設施環境上。熱浸鍍鋅表面處理後可增加使用壽命及不受表面褪色、氧化、生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銹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、腐蝕等之困擾。 </w:t>
      </w:r>
    </w:p>
    <w:p w:rsidR="008B4641" w:rsidRPr="008B4641" w:rsidRDefault="008B4641" w:rsidP="00E93B30">
      <w:pPr>
        <w:widowControl/>
        <w:spacing w:line="520" w:lineRule="exact"/>
        <w:ind w:leftChars="400"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lastRenderedPageBreak/>
        <w:t xml:space="preserve">參考規範 </w:t>
      </w:r>
    </w:p>
    <w:p w:rsidR="008B4641" w:rsidRPr="008B4641" w:rsidRDefault="008B4641" w:rsidP="00E93B30">
      <w:pPr>
        <w:widowControl/>
        <w:spacing w:line="520" w:lineRule="exact"/>
        <w:ind w:leftChars="400"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ASTM ─ A536 -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84  Ductile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Iron Castings</w:t>
      </w:r>
    </w:p>
    <w:p w:rsidR="008B4641" w:rsidRPr="008B4641" w:rsidRDefault="008B4641" w:rsidP="00E93B30">
      <w:pPr>
        <w:widowControl/>
        <w:spacing w:line="520" w:lineRule="exact"/>
        <w:ind w:leftChars="400"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ASME ─ A112.6.3 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-  2001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 Floor And Trench Drains</w:t>
      </w:r>
    </w:p>
    <w:p w:rsidR="00E93B30" w:rsidRDefault="008B4641" w:rsidP="008B4641">
      <w:pPr>
        <w:widowControl/>
        <w:numPr>
          <w:ilvl w:val="0"/>
          <w:numId w:val="28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黃銅鑄件 (Brass Castings)      </w:t>
      </w:r>
    </w:p>
    <w:p w:rsidR="008B4641" w:rsidRPr="00E93B30" w:rsidRDefault="008B4641" w:rsidP="00E93B30">
      <w:pPr>
        <w:widowControl/>
        <w:spacing w:line="520" w:lineRule="exact"/>
        <w:ind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鍍鉻亮面黃銅普遍使用於搭配室內裝飾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墻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壁、地板等較明亮的裝修完成面區域及人行區域。如游泳池、浴廁、陽台、廚房。           </w:t>
      </w:r>
    </w:p>
    <w:p w:rsidR="008B4641" w:rsidRPr="008B4641" w:rsidRDefault="008B4641" w:rsidP="00E93B30">
      <w:pPr>
        <w:widowControl/>
        <w:spacing w:line="520" w:lineRule="exact"/>
        <w:ind w:leftChars="400"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>參考規範 CNS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4336 H3064 黃銅鑄件</w:t>
      </w:r>
    </w:p>
    <w:p w:rsidR="008B4641" w:rsidRPr="008B4641" w:rsidRDefault="008B4641" w:rsidP="00E93B30">
      <w:pPr>
        <w:widowControl/>
        <w:spacing w:line="520" w:lineRule="exact"/>
        <w:ind w:leftChars="400" w:left="960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ASTM  B584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-00  Copper Alloy Sand Castings</w:t>
      </w:r>
    </w:p>
    <w:p w:rsidR="00E93B30" w:rsidRDefault="008B4641" w:rsidP="008B4641">
      <w:pPr>
        <w:widowControl/>
        <w:numPr>
          <w:ilvl w:val="0"/>
          <w:numId w:val="28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青銅鑄件 (Bronze Castings)   </w:t>
      </w:r>
    </w:p>
    <w:p w:rsidR="008B4641" w:rsidRPr="00E93B30" w:rsidRDefault="008B4641" w:rsidP="00E93B30">
      <w:pPr>
        <w:widowControl/>
        <w:spacing w:line="520" w:lineRule="exact"/>
        <w:ind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鍍鉻粗糙面青銅具有極佳強度之銅合金成份，耐重壓、抗衝擊性、防腐蝕氧化等特性,普遍使用於交通頻繁要道,如停車場、工廠、碼頭、焚化爐廠車站、倉庫、物流中心等公共區域。</w:t>
      </w:r>
    </w:p>
    <w:p w:rsidR="008B4641" w:rsidRPr="008B4641" w:rsidRDefault="008B4641" w:rsidP="00E93B30">
      <w:pPr>
        <w:widowControl/>
        <w:spacing w:line="520" w:lineRule="exact"/>
        <w:ind w:leftChars="400"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>參考規範 CNS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4125 H3057 青銅鑄件  </w:t>
      </w:r>
    </w:p>
    <w:p w:rsidR="008B4641" w:rsidRPr="008B4641" w:rsidRDefault="00E93B30" w:rsidP="00E93B30">
      <w:pPr>
        <w:widowControl/>
        <w:spacing w:line="520" w:lineRule="exact"/>
        <w:ind w:leftChars="400" w:left="96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　　　　 </w:t>
      </w:r>
      <w:proofErr w:type="gramStart"/>
      <w:r w:rsidR="008B4641" w:rsidRPr="008B4641">
        <w:rPr>
          <w:rFonts w:ascii="標楷體" w:eastAsia="標楷體" w:hAnsi="標楷體" w:cs="新細明體"/>
          <w:kern w:val="0"/>
          <w:sz w:val="32"/>
          <w:szCs w:val="32"/>
        </w:rPr>
        <w:t>ASTM  B584</w:t>
      </w:r>
      <w:proofErr w:type="gramEnd"/>
      <w:r w:rsidR="008B4641" w:rsidRPr="008B4641">
        <w:rPr>
          <w:rFonts w:ascii="標楷體" w:eastAsia="標楷體" w:hAnsi="標楷體" w:cs="新細明體"/>
          <w:kern w:val="0"/>
          <w:sz w:val="32"/>
          <w:szCs w:val="32"/>
        </w:rPr>
        <w:t>-00  Copper Alloy Sand Castings  </w:t>
      </w:r>
    </w:p>
    <w:p w:rsidR="00E93B30" w:rsidRDefault="008B4641" w:rsidP="008B4641">
      <w:pPr>
        <w:widowControl/>
        <w:numPr>
          <w:ilvl w:val="0"/>
          <w:numId w:val="28"/>
        </w:numPr>
        <w:spacing w:line="52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不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銹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鋼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（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Stainless Steel)</w:t>
      </w:r>
    </w:p>
    <w:p w:rsidR="008B4641" w:rsidRPr="00E93B30" w:rsidRDefault="008B4641" w:rsidP="00E93B30">
      <w:pPr>
        <w:widowControl/>
        <w:spacing w:line="520" w:lineRule="exact"/>
        <w:ind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E93B30">
        <w:rPr>
          <w:rFonts w:ascii="標楷體" w:eastAsia="標楷體" w:hAnsi="標楷體" w:cs="新細明體"/>
          <w:kern w:val="0"/>
          <w:sz w:val="32"/>
          <w:szCs w:val="32"/>
        </w:rPr>
        <w:t>不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銹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鋼材質一般常態化皆採用 TYPE SUS304 生產、製造、其本身具備極佳之防腐蝕性能。若為特殊環境需求或耐酸</w:t>
      </w:r>
      <w:proofErr w:type="gramStart"/>
      <w:r w:rsidRPr="00E93B30">
        <w:rPr>
          <w:rFonts w:ascii="標楷體" w:eastAsia="標楷體" w:hAnsi="標楷體" w:cs="新細明體"/>
          <w:kern w:val="0"/>
          <w:sz w:val="32"/>
          <w:szCs w:val="32"/>
        </w:rPr>
        <w:t>鹼</w:t>
      </w:r>
      <w:proofErr w:type="gramEnd"/>
      <w:r w:rsidRPr="00E93B30">
        <w:rPr>
          <w:rFonts w:ascii="標楷體" w:eastAsia="標楷體" w:hAnsi="標楷體" w:cs="新細明體"/>
          <w:kern w:val="0"/>
          <w:sz w:val="32"/>
          <w:szCs w:val="32"/>
        </w:rPr>
        <w:t>場所之應用，則可採用 TYPE SUS316。  </w:t>
      </w:r>
    </w:p>
    <w:p w:rsidR="008B4641" w:rsidRPr="008B4641" w:rsidRDefault="008B4641" w:rsidP="00E93B30">
      <w:pPr>
        <w:widowControl/>
        <w:spacing w:line="520" w:lineRule="exact"/>
        <w:ind w:leftChars="400" w:left="960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>參考規範 CNS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─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 8499 G3164 冷軋不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銹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鋼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鋼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片及鋼板  </w:t>
      </w:r>
    </w:p>
    <w:p w:rsidR="008B4641" w:rsidRPr="008B4641" w:rsidRDefault="008B4641" w:rsidP="008B4641">
      <w:pPr>
        <w:widowControl/>
        <w:spacing w:line="5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>         </w:t>
      </w:r>
      <w:r w:rsidR="00E93B30">
        <w:rPr>
          <w:rFonts w:ascii="標楷體" w:eastAsia="標楷體" w:hAnsi="標楷體" w:cs="新細明體"/>
          <w:kern w:val="0"/>
          <w:sz w:val="32"/>
          <w:szCs w:val="32"/>
        </w:rPr>
        <w:t>      </w:t>
      </w:r>
      <w:r w:rsidRPr="008B4641">
        <w:rPr>
          <w:rFonts w:ascii="標楷體" w:eastAsia="標楷體" w:hAnsi="標楷體" w:cs="新細明體"/>
          <w:kern w:val="0"/>
          <w:sz w:val="32"/>
          <w:szCs w:val="32"/>
        </w:rPr>
        <w:t xml:space="preserve">CNS    4000 G3092   不銹鋼鑄鋼件 </w:t>
      </w:r>
    </w:p>
    <w:p w:rsidR="008B4641" w:rsidRPr="008B4641" w:rsidRDefault="008B4641" w:rsidP="008B4641">
      <w:pPr>
        <w:widowControl/>
        <w:numPr>
          <w:ilvl w:val="0"/>
          <w:numId w:val="23"/>
        </w:num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  <w:u w:val="single"/>
        </w:rPr>
        <w:t>地板落水頭外觀形狀選用</w:t>
      </w:r>
    </w:p>
    <w:p w:rsidR="007D08AA" w:rsidRPr="008B4641" w:rsidRDefault="008B4641" w:rsidP="008B4641">
      <w:pPr>
        <w:widowControl/>
        <w:spacing w:line="520" w:lineRule="exact"/>
        <w:ind w:left="1200"/>
        <w:rPr>
          <w:rFonts w:ascii="標楷體" w:eastAsia="標楷體" w:hAnsi="標楷體"/>
          <w:sz w:val="32"/>
          <w:szCs w:val="32"/>
        </w:rPr>
      </w:pPr>
      <w:r w:rsidRPr="008B4641">
        <w:rPr>
          <w:rFonts w:ascii="標楷體" w:eastAsia="標楷體" w:hAnsi="標楷體" w:cs="新細明體"/>
          <w:kern w:val="0"/>
          <w:sz w:val="32"/>
          <w:szCs w:val="32"/>
        </w:rPr>
        <w:t>圓形、長方形、正方形及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墻角形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是適用於所有建築結構類型和地板圖案花樣 ,其中圓形的</w:t>
      </w:r>
      <w:proofErr w:type="gramStart"/>
      <w:r w:rsidRPr="008B4641">
        <w:rPr>
          <w:rFonts w:ascii="標楷體" w:eastAsia="標楷體" w:hAnsi="標楷體" w:cs="新細明體"/>
          <w:kern w:val="0"/>
          <w:sz w:val="32"/>
          <w:szCs w:val="32"/>
        </w:rPr>
        <w:t>格柵是</w:t>
      </w:r>
      <w:proofErr w:type="gramEnd"/>
      <w:r w:rsidRPr="008B4641">
        <w:rPr>
          <w:rFonts w:ascii="標楷體" w:eastAsia="標楷體" w:hAnsi="標楷體" w:cs="新細明體"/>
          <w:kern w:val="0"/>
          <w:sz w:val="32"/>
          <w:szCs w:val="32"/>
        </w:rPr>
        <w:t>最具彈性且較容易和大多數的地板相對應的。</w:t>
      </w:r>
    </w:p>
    <w:p w:rsidR="006C0E91" w:rsidRPr="008B4641" w:rsidRDefault="006C0E91" w:rsidP="008B464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6C0E91" w:rsidRPr="008B4641" w:rsidSect="00C238E6">
      <w:headerReference w:type="default" r:id="rId7"/>
      <w:footerReference w:type="default" r:id="rId8"/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38" w:rsidRDefault="00C87538" w:rsidP="00A91D70">
      <w:r>
        <w:separator/>
      </w:r>
    </w:p>
  </w:endnote>
  <w:endnote w:type="continuationSeparator" w:id="0">
    <w:p w:rsidR="00C87538" w:rsidRDefault="00C87538" w:rsidP="00A9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5" w:rsidRDefault="00CA72C5" w:rsidP="00CA72C5">
    <w:pPr>
      <w:pStyle w:val="a5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E046A3">
      <w:rPr>
        <w:b/>
        <w:sz w:val="24"/>
        <w:szCs w:val="24"/>
      </w:rPr>
      <w:fldChar w:fldCharType="begin"/>
    </w:r>
    <w:r>
      <w:rPr>
        <w:b/>
      </w:rPr>
      <w:instrText>PAGE</w:instrText>
    </w:r>
    <w:r w:rsidR="00E046A3">
      <w:rPr>
        <w:b/>
        <w:sz w:val="24"/>
        <w:szCs w:val="24"/>
      </w:rPr>
      <w:fldChar w:fldCharType="separate"/>
    </w:r>
    <w:r w:rsidR="00C91588">
      <w:rPr>
        <w:b/>
        <w:noProof/>
      </w:rPr>
      <w:t>3</w:t>
    </w:r>
    <w:r w:rsidR="00E046A3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E046A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046A3">
      <w:rPr>
        <w:b/>
        <w:sz w:val="24"/>
        <w:szCs w:val="24"/>
      </w:rPr>
      <w:fldChar w:fldCharType="separate"/>
    </w:r>
    <w:r w:rsidR="00C91588">
      <w:rPr>
        <w:b/>
        <w:noProof/>
      </w:rPr>
      <w:t>3</w:t>
    </w:r>
    <w:r w:rsidR="00E046A3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38" w:rsidRDefault="00C87538" w:rsidP="00A91D70">
      <w:r>
        <w:separator/>
      </w:r>
    </w:p>
  </w:footnote>
  <w:footnote w:type="continuationSeparator" w:id="0">
    <w:p w:rsidR="00C87538" w:rsidRDefault="00C87538" w:rsidP="00A9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FC" w:rsidRDefault="00D040FC">
    <w:pPr>
      <w:pStyle w:val="a3"/>
    </w:pPr>
    <w:r>
      <w:t>1030</w:t>
    </w:r>
    <w:r>
      <w:rPr>
        <w:rFonts w:hint="eastAsia"/>
      </w:rPr>
      <w:t>90</w:t>
    </w:r>
    <w:r w:rsidR="006C0E91">
      <w:rPr>
        <w:rFonts w:hint="eastAsia"/>
      </w:rPr>
      <w:t>3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678"/>
    <w:multiLevelType w:val="hybridMultilevel"/>
    <w:tmpl w:val="F8906E2E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2935378"/>
    <w:multiLevelType w:val="hybridMultilevel"/>
    <w:tmpl w:val="F9ACF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640B4"/>
    <w:multiLevelType w:val="hybridMultilevel"/>
    <w:tmpl w:val="F2F2C01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82A495B"/>
    <w:multiLevelType w:val="hybridMultilevel"/>
    <w:tmpl w:val="B112A8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E52D8B"/>
    <w:multiLevelType w:val="hybridMultilevel"/>
    <w:tmpl w:val="B59A6D24"/>
    <w:lvl w:ilvl="0" w:tplc="04090015">
      <w:start w:val="1"/>
      <w:numFmt w:val="taiwaneseCountingThousand"/>
      <w:lvlText w:val="%1、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">
    <w:nsid w:val="1B541FF5"/>
    <w:multiLevelType w:val="hybridMultilevel"/>
    <w:tmpl w:val="49EEA19C"/>
    <w:lvl w:ilvl="0" w:tplc="2672694A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0A1368"/>
    <w:multiLevelType w:val="hybridMultilevel"/>
    <w:tmpl w:val="3C608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F91C30"/>
    <w:multiLevelType w:val="hybridMultilevel"/>
    <w:tmpl w:val="0EB0CE22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23536A06"/>
    <w:multiLevelType w:val="hybridMultilevel"/>
    <w:tmpl w:val="BD4E1416"/>
    <w:lvl w:ilvl="0" w:tplc="D2DCB7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3C1FE4"/>
    <w:multiLevelType w:val="hybridMultilevel"/>
    <w:tmpl w:val="DA4AD152"/>
    <w:lvl w:ilvl="0" w:tplc="0409000F">
      <w:start w:val="1"/>
      <w:numFmt w:val="decimal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3709046A"/>
    <w:multiLevelType w:val="hybridMultilevel"/>
    <w:tmpl w:val="2286ECA4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1">
    <w:nsid w:val="377C41B3"/>
    <w:multiLevelType w:val="hybridMultilevel"/>
    <w:tmpl w:val="9278B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A76BB"/>
    <w:multiLevelType w:val="hybridMultilevel"/>
    <w:tmpl w:val="A454BD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D547836"/>
    <w:multiLevelType w:val="hybridMultilevel"/>
    <w:tmpl w:val="C7D8456A"/>
    <w:lvl w:ilvl="0" w:tplc="D6D42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FCE09A7"/>
    <w:multiLevelType w:val="hybridMultilevel"/>
    <w:tmpl w:val="3EDA8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CD09C0"/>
    <w:multiLevelType w:val="hybridMultilevel"/>
    <w:tmpl w:val="F618AD84"/>
    <w:lvl w:ilvl="0" w:tplc="00724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FB46074"/>
    <w:multiLevelType w:val="hybridMultilevel"/>
    <w:tmpl w:val="042A1E06"/>
    <w:lvl w:ilvl="0" w:tplc="2672694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D43DCC"/>
    <w:multiLevelType w:val="hybridMultilevel"/>
    <w:tmpl w:val="0D6C62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6A24E5A"/>
    <w:multiLevelType w:val="hybridMultilevel"/>
    <w:tmpl w:val="998650F0"/>
    <w:lvl w:ilvl="0" w:tplc="89C6032C">
      <w:start w:val="1"/>
      <w:numFmt w:val="decimalZero"/>
      <w:lvlText w:val="【00%1】"/>
      <w:lvlJc w:val="left"/>
      <w:pPr>
        <w:ind w:left="1473" w:hanging="480"/>
      </w:pPr>
      <w:rPr>
        <w:rFonts w:hint="eastAsia"/>
        <w:b w:val="0"/>
        <w:color w:val="auto"/>
        <w:spacing w:val="0"/>
        <w:position w:val="2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9">
    <w:nsid w:val="599B4994"/>
    <w:multiLevelType w:val="hybridMultilevel"/>
    <w:tmpl w:val="F4642032"/>
    <w:lvl w:ilvl="0" w:tplc="2672694A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A8565DE"/>
    <w:multiLevelType w:val="hybridMultilevel"/>
    <w:tmpl w:val="86B69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04D06"/>
    <w:multiLevelType w:val="hybridMultilevel"/>
    <w:tmpl w:val="63307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9E006E"/>
    <w:multiLevelType w:val="hybridMultilevel"/>
    <w:tmpl w:val="6082E71E"/>
    <w:lvl w:ilvl="0" w:tplc="0982FCD4">
      <w:start w:val="1"/>
      <w:numFmt w:val="taiwaneseCountingThousand"/>
      <w:lvlText w:val="%1、"/>
      <w:lvlJc w:val="left"/>
      <w:pPr>
        <w:ind w:left="480" w:hanging="480"/>
      </w:pPr>
      <w:rPr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D217F7"/>
    <w:multiLevelType w:val="hybridMultilevel"/>
    <w:tmpl w:val="16226ACA"/>
    <w:lvl w:ilvl="0" w:tplc="2672694A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5412F26"/>
    <w:multiLevelType w:val="hybridMultilevel"/>
    <w:tmpl w:val="06BCA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952A5E"/>
    <w:multiLevelType w:val="hybridMultilevel"/>
    <w:tmpl w:val="2BA266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C6548C"/>
    <w:multiLevelType w:val="hybridMultilevel"/>
    <w:tmpl w:val="7E8AECF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7">
    <w:nsid w:val="79807A0F"/>
    <w:multiLevelType w:val="hybridMultilevel"/>
    <w:tmpl w:val="C42E930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6"/>
  </w:num>
  <w:num w:numId="5">
    <w:abstractNumId w:val="10"/>
  </w:num>
  <w:num w:numId="6">
    <w:abstractNumId w:val="27"/>
  </w:num>
  <w:num w:numId="7">
    <w:abstractNumId w:val="22"/>
  </w:num>
  <w:num w:numId="8">
    <w:abstractNumId w:val="15"/>
  </w:num>
  <w:num w:numId="9">
    <w:abstractNumId w:val="20"/>
  </w:num>
  <w:num w:numId="10">
    <w:abstractNumId w:val="17"/>
  </w:num>
  <w:num w:numId="11">
    <w:abstractNumId w:val="25"/>
  </w:num>
  <w:num w:numId="12">
    <w:abstractNumId w:val="1"/>
  </w:num>
  <w:num w:numId="13">
    <w:abstractNumId w:val="13"/>
  </w:num>
  <w:num w:numId="14">
    <w:abstractNumId w:val="3"/>
  </w:num>
  <w:num w:numId="15">
    <w:abstractNumId w:val="21"/>
  </w:num>
  <w:num w:numId="16">
    <w:abstractNumId w:val="18"/>
  </w:num>
  <w:num w:numId="17">
    <w:abstractNumId w:val="14"/>
  </w:num>
  <w:num w:numId="18">
    <w:abstractNumId w:val="9"/>
  </w:num>
  <w:num w:numId="19">
    <w:abstractNumId w:val="8"/>
  </w:num>
  <w:num w:numId="20">
    <w:abstractNumId w:val="12"/>
  </w:num>
  <w:num w:numId="21">
    <w:abstractNumId w:val="6"/>
  </w:num>
  <w:num w:numId="22">
    <w:abstractNumId w:val="4"/>
  </w:num>
  <w:num w:numId="23">
    <w:abstractNumId w:val="11"/>
  </w:num>
  <w:num w:numId="24">
    <w:abstractNumId w:val="19"/>
  </w:num>
  <w:num w:numId="25">
    <w:abstractNumId w:val="16"/>
  </w:num>
  <w:num w:numId="26">
    <w:abstractNumId w:val="24"/>
  </w:num>
  <w:num w:numId="27">
    <w:abstractNumId w:val="2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57E"/>
    <w:rsid w:val="00040946"/>
    <w:rsid w:val="00071506"/>
    <w:rsid w:val="000A3431"/>
    <w:rsid w:val="00160754"/>
    <w:rsid w:val="00193128"/>
    <w:rsid w:val="0022292D"/>
    <w:rsid w:val="00255B72"/>
    <w:rsid w:val="002D4641"/>
    <w:rsid w:val="00312BC8"/>
    <w:rsid w:val="00352EE0"/>
    <w:rsid w:val="0043002A"/>
    <w:rsid w:val="004762EF"/>
    <w:rsid w:val="005056CD"/>
    <w:rsid w:val="006A2828"/>
    <w:rsid w:val="006C0E91"/>
    <w:rsid w:val="006F34C5"/>
    <w:rsid w:val="007412F8"/>
    <w:rsid w:val="007605A6"/>
    <w:rsid w:val="0076241D"/>
    <w:rsid w:val="007A31EC"/>
    <w:rsid w:val="007B19B5"/>
    <w:rsid w:val="007D08AA"/>
    <w:rsid w:val="008300C1"/>
    <w:rsid w:val="008B3427"/>
    <w:rsid w:val="008B4641"/>
    <w:rsid w:val="009239B3"/>
    <w:rsid w:val="0095484D"/>
    <w:rsid w:val="009776F7"/>
    <w:rsid w:val="009914C3"/>
    <w:rsid w:val="00A04B38"/>
    <w:rsid w:val="00A44DD5"/>
    <w:rsid w:val="00A91D70"/>
    <w:rsid w:val="00BD7919"/>
    <w:rsid w:val="00C238E6"/>
    <w:rsid w:val="00C87538"/>
    <w:rsid w:val="00C879C1"/>
    <w:rsid w:val="00C91588"/>
    <w:rsid w:val="00CA72C5"/>
    <w:rsid w:val="00CB457E"/>
    <w:rsid w:val="00D040FC"/>
    <w:rsid w:val="00D94D2C"/>
    <w:rsid w:val="00DE063F"/>
    <w:rsid w:val="00E046A3"/>
    <w:rsid w:val="00E515E5"/>
    <w:rsid w:val="00E93B30"/>
    <w:rsid w:val="00F1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57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D7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A9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D70"/>
    <w:rPr>
      <w:rFonts w:ascii="Calibri" w:hAnsi="Calibri"/>
      <w:kern w:val="2"/>
    </w:rPr>
  </w:style>
  <w:style w:type="character" w:styleId="a7">
    <w:name w:val="Hyperlink"/>
    <w:basedOn w:val="a0"/>
    <w:rsid w:val="00A91D7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91D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FollowedHyperlink"/>
    <w:basedOn w:val="a0"/>
    <w:rsid w:val="008300C1"/>
    <w:rPr>
      <w:color w:val="800080"/>
      <w:u w:val="single"/>
    </w:rPr>
  </w:style>
  <w:style w:type="paragraph" w:styleId="a9">
    <w:name w:val="Balloon Text"/>
    <w:basedOn w:val="a"/>
    <w:link w:val="aa"/>
    <w:rsid w:val="00D040F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040F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3002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捷運自動收費系統：</dc:title>
  <dc:creator>nico</dc:creator>
  <cp:lastModifiedBy>Wang</cp:lastModifiedBy>
  <cp:revision>22</cp:revision>
  <cp:lastPrinted>2014-09-03T05:55:00Z</cp:lastPrinted>
  <dcterms:created xsi:type="dcterms:W3CDTF">2014-09-01T06:42:00Z</dcterms:created>
  <dcterms:modified xsi:type="dcterms:W3CDTF">2014-09-03T07:31:00Z</dcterms:modified>
</cp:coreProperties>
</file>